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7B" w:rsidRPr="00BB707F" w:rsidRDefault="0011687B" w:rsidP="00BB707F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B707F">
        <w:rPr>
          <w:rFonts w:ascii="Times New Roman" w:eastAsia="標楷體" w:hAnsi="Times New Roman" w:cs="Times New Roman"/>
          <w:b/>
          <w:sz w:val="32"/>
          <w:szCs w:val="32"/>
        </w:rPr>
        <w:t>大專校院資源加值與活化說明會</w:t>
      </w:r>
    </w:p>
    <w:p w:rsidR="00383A37" w:rsidRDefault="002C3F48" w:rsidP="00DA7403">
      <w:pPr>
        <w:adjustRightInd w:val="0"/>
        <w:snapToGrid w:val="0"/>
        <w:spacing w:beforeLines="100" w:before="360"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DA7403">
        <w:rPr>
          <w:rFonts w:ascii="Times New Roman" w:eastAsia="標楷體" w:hAnsi="Times New Roman" w:cs="Times New Roman" w:hint="eastAsia"/>
          <w:sz w:val="28"/>
          <w:szCs w:val="28"/>
        </w:rPr>
        <w:t>為協助各大專校院面對國內少子化所帶來之衝擊，</w:t>
      </w:r>
      <w:r w:rsidR="00DA7403" w:rsidRPr="008651BB">
        <w:rPr>
          <w:rFonts w:ascii="Times New Roman" w:eastAsia="標楷體" w:hAnsi="Times New Roman" w:cs="Times New Roman"/>
          <w:sz w:val="28"/>
          <w:szCs w:val="28"/>
        </w:rPr>
        <w:t>教育部</w:t>
      </w:r>
      <w:r w:rsidR="00DA7403">
        <w:rPr>
          <w:rFonts w:ascii="Times New Roman" w:eastAsia="標楷體" w:hAnsi="Times New Roman" w:cs="Times New Roman" w:hint="eastAsia"/>
          <w:sz w:val="28"/>
          <w:szCs w:val="28"/>
        </w:rPr>
        <w:t>特</w:t>
      </w:r>
      <w:r w:rsidR="00DA7403" w:rsidRPr="008651BB">
        <w:rPr>
          <w:rFonts w:ascii="Times New Roman" w:eastAsia="標楷體" w:hAnsi="Times New Roman" w:cs="Times New Roman"/>
          <w:sz w:val="28"/>
          <w:szCs w:val="28"/>
        </w:rPr>
        <w:t>委託金屬中心，</w:t>
      </w:r>
      <w:r w:rsidR="0011687B" w:rsidRPr="008651BB">
        <w:rPr>
          <w:rFonts w:ascii="Times New Roman" w:eastAsia="標楷體" w:hAnsi="Times New Roman" w:cs="Times New Roman"/>
          <w:sz w:val="28"/>
          <w:szCs w:val="28"/>
        </w:rPr>
        <w:t>以國內大專校院為協助輔導及諮詢服務之對象，</w:t>
      </w:r>
      <w:r w:rsidR="00F22CCC">
        <w:rPr>
          <w:rFonts w:ascii="Times New Roman" w:eastAsia="標楷體" w:hAnsi="Times New Roman" w:cs="Times New Roman" w:hint="eastAsia"/>
          <w:sz w:val="28"/>
          <w:szCs w:val="28"/>
        </w:rPr>
        <w:t>順應</w:t>
      </w:r>
      <w:r w:rsidR="003B3D6C" w:rsidRPr="003B3D6C">
        <w:rPr>
          <w:rFonts w:ascii="Times New Roman" w:eastAsia="標楷體" w:hAnsi="Times New Roman" w:cs="Times New Roman" w:hint="eastAsia"/>
          <w:sz w:val="28"/>
          <w:szCs w:val="28"/>
        </w:rPr>
        <w:t>政府五加二加二產業創新研發計畫及</w:t>
      </w:r>
      <w:r w:rsidR="000A42A3">
        <w:rPr>
          <w:rFonts w:ascii="Times New Roman" w:eastAsia="標楷體" w:hAnsi="Times New Roman" w:cs="Times New Roman" w:hint="eastAsia"/>
          <w:sz w:val="28"/>
          <w:szCs w:val="28"/>
        </w:rPr>
        <w:t>前瞻基礎建設計畫相關重大產業施政主軸，</w:t>
      </w:r>
      <w:r w:rsidR="003B3D6C" w:rsidRPr="003B3D6C">
        <w:rPr>
          <w:rFonts w:ascii="Times New Roman" w:eastAsia="標楷體" w:hAnsi="Times New Roman" w:cs="Times New Roman" w:hint="eastAsia"/>
          <w:sz w:val="28"/>
          <w:szCs w:val="28"/>
        </w:rPr>
        <w:t>作為</w:t>
      </w:r>
      <w:r>
        <w:rPr>
          <w:rFonts w:ascii="Times New Roman" w:eastAsia="標楷體" w:hAnsi="Times New Roman" w:cs="Times New Roman" w:hint="eastAsia"/>
          <w:sz w:val="28"/>
          <w:szCs w:val="28"/>
        </w:rPr>
        <w:t>培育國家人</w:t>
      </w:r>
      <w:r w:rsidR="00075300">
        <w:rPr>
          <w:rFonts w:ascii="Times New Roman" w:eastAsia="標楷體" w:hAnsi="Times New Roman" w:cs="Times New Roman" w:hint="eastAsia"/>
          <w:sz w:val="28"/>
          <w:szCs w:val="28"/>
        </w:rPr>
        <w:t>才與</w:t>
      </w:r>
      <w:r w:rsidR="003B3D6C" w:rsidRPr="003B3D6C">
        <w:rPr>
          <w:rFonts w:ascii="Times New Roman" w:eastAsia="標楷體" w:hAnsi="Times New Roman" w:cs="Times New Roman" w:hint="eastAsia"/>
          <w:sz w:val="28"/>
          <w:szCs w:val="28"/>
        </w:rPr>
        <w:t>產業發展新動能</w:t>
      </w:r>
      <w:r w:rsidR="000A42A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A7403">
        <w:rPr>
          <w:rFonts w:ascii="Times New Roman" w:eastAsia="標楷體" w:hAnsi="Times New Roman" w:cs="Times New Roman" w:hint="eastAsia"/>
          <w:sz w:val="28"/>
          <w:szCs w:val="28"/>
        </w:rPr>
        <w:t>結合各</w:t>
      </w:r>
      <w:r w:rsidR="00075300">
        <w:rPr>
          <w:rFonts w:ascii="Times New Roman" w:eastAsia="標楷體" w:hAnsi="Times New Roman" w:cs="Times New Roman" w:hint="eastAsia"/>
          <w:sz w:val="28"/>
          <w:szCs w:val="28"/>
        </w:rPr>
        <w:t>大</w:t>
      </w:r>
      <w:r w:rsidR="00DA7403">
        <w:rPr>
          <w:rFonts w:ascii="Times New Roman" w:eastAsia="標楷體" w:hAnsi="Times New Roman" w:cs="Times New Roman" w:hint="eastAsia"/>
          <w:sz w:val="28"/>
          <w:szCs w:val="28"/>
        </w:rPr>
        <w:t>產業工會</w:t>
      </w:r>
      <w:r w:rsidR="000A42A3">
        <w:rPr>
          <w:rFonts w:ascii="Times New Roman" w:eastAsia="標楷體" w:hAnsi="Times New Roman" w:cs="Times New Roman" w:hint="eastAsia"/>
          <w:sz w:val="28"/>
          <w:szCs w:val="28"/>
        </w:rPr>
        <w:t>資源與能量</w:t>
      </w:r>
      <w:r w:rsidR="00DA740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83A37" w:rsidRPr="008651BB">
        <w:rPr>
          <w:rFonts w:ascii="Times New Roman" w:eastAsia="標楷體" w:hAnsi="Times New Roman" w:cs="Times New Roman"/>
          <w:sz w:val="28"/>
          <w:szCs w:val="28"/>
        </w:rPr>
        <w:t>針對申請服務個案學校之特色、優勢及需求，</w:t>
      </w:r>
      <w:r w:rsidR="00075300">
        <w:rPr>
          <w:rFonts w:ascii="Times New Roman" w:eastAsia="標楷體" w:hAnsi="Times New Roman" w:cs="Times New Roman" w:hint="eastAsia"/>
          <w:sz w:val="28"/>
          <w:szCs w:val="28"/>
        </w:rPr>
        <w:t>聘請專家</w:t>
      </w:r>
      <w:r w:rsidR="002A0212" w:rsidRPr="008651BB">
        <w:rPr>
          <w:rFonts w:ascii="Times New Roman" w:eastAsia="標楷體" w:hAnsi="Times New Roman" w:cs="Times New Roman"/>
          <w:sz w:val="28"/>
          <w:szCs w:val="28"/>
        </w:rPr>
        <w:t>提供</w:t>
      </w:r>
      <w:r w:rsidR="00075300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11687B" w:rsidRPr="008651BB">
        <w:rPr>
          <w:rFonts w:ascii="Times New Roman" w:eastAsia="標楷體" w:hAnsi="Times New Roman" w:cs="Times New Roman"/>
          <w:sz w:val="28"/>
          <w:szCs w:val="28"/>
        </w:rPr>
        <w:t>諮詢</w:t>
      </w:r>
      <w:r w:rsidR="00075300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075300">
        <w:rPr>
          <w:rFonts w:ascii="Times New Roman" w:eastAsia="標楷體" w:hAnsi="Times New Roman" w:cs="Times New Roman"/>
          <w:sz w:val="28"/>
          <w:szCs w:val="28"/>
        </w:rPr>
        <w:t>相關協助</w:t>
      </w:r>
      <w:r w:rsidR="0011687B" w:rsidRPr="008651BB">
        <w:rPr>
          <w:rFonts w:ascii="Times New Roman" w:eastAsia="標楷體" w:hAnsi="Times New Roman" w:cs="Times New Roman"/>
          <w:sz w:val="28"/>
          <w:szCs w:val="28"/>
        </w:rPr>
        <w:t>，</w:t>
      </w:r>
      <w:r w:rsidR="000A42A3">
        <w:rPr>
          <w:rFonts w:ascii="Times New Roman" w:eastAsia="標楷體" w:hAnsi="Times New Roman" w:cs="Times New Roman" w:hint="eastAsia"/>
          <w:sz w:val="28"/>
          <w:szCs w:val="28"/>
        </w:rPr>
        <w:t>以創造</w:t>
      </w:r>
      <w:r w:rsidR="00075300">
        <w:rPr>
          <w:rFonts w:ascii="Times New Roman" w:eastAsia="標楷體" w:hAnsi="Times New Roman" w:cs="Times New Roman" w:hint="eastAsia"/>
          <w:sz w:val="28"/>
          <w:szCs w:val="28"/>
        </w:rPr>
        <w:t>為國家培育人才與為學校</w:t>
      </w:r>
      <w:r w:rsidR="0007530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75300">
        <w:rPr>
          <w:rFonts w:ascii="Times New Roman" w:eastAsia="標楷體" w:hAnsi="Times New Roman" w:cs="Times New Roman" w:hint="eastAsia"/>
          <w:sz w:val="28"/>
          <w:szCs w:val="28"/>
        </w:rPr>
        <w:t>學生找未來的</w:t>
      </w:r>
      <w:r w:rsidR="000A42A3">
        <w:rPr>
          <w:rFonts w:ascii="Times New Roman" w:eastAsia="標楷體" w:hAnsi="Times New Roman" w:cs="Times New Roman" w:hint="eastAsia"/>
          <w:sz w:val="28"/>
          <w:szCs w:val="28"/>
        </w:rPr>
        <w:t>產學雙贏局面。</w:t>
      </w:r>
    </w:p>
    <w:p w:rsidR="0062228C" w:rsidRDefault="00075300" w:rsidP="00383A37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0A42A3">
        <w:rPr>
          <w:rFonts w:ascii="Times New Roman" w:eastAsia="標楷體" w:hAnsi="Times New Roman" w:cs="Times New Roman" w:hint="eastAsia"/>
          <w:sz w:val="28"/>
          <w:szCs w:val="28"/>
        </w:rPr>
        <w:t>為使學界可進一步了解相關資訊，</w:t>
      </w:r>
      <w:r w:rsidR="0011687B" w:rsidRPr="008651BB">
        <w:rPr>
          <w:rFonts w:ascii="Times New Roman" w:eastAsia="標楷體" w:hAnsi="Times New Roman" w:cs="Times New Roman"/>
          <w:sz w:val="28"/>
          <w:szCs w:val="28"/>
        </w:rPr>
        <w:t>因此特於北中南東舉辦說明會，分享中央各項政策、區域產業發展、地方政府資源、在地產業人才需求及回流教育或在職進修需求等資訊，</w:t>
      </w:r>
      <w:r w:rsidR="000A42A3">
        <w:rPr>
          <w:rFonts w:ascii="Times New Roman" w:eastAsia="標楷體" w:hAnsi="Times New Roman" w:cs="Times New Roman" w:hint="eastAsia"/>
          <w:sz w:val="28"/>
          <w:szCs w:val="28"/>
        </w:rPr>
        <w:t>以及</w:t>
      </w:r>
      <w:r w:rsidR="0011687B" w:rsidRPr="008651BB">
        <w:rPr>
          <w:rFonts w:ascii="Times New Roman" w:eastAsia="標楷體" w:hAnsi="Times New Roman" w:cs="Times New Roman"/>
          <w:sz w:val="28"/>
          <w:szCs w:val="28"/>
        </w:rPr>
        <w:t>學校轉型及多元發展之參考模式與作業機制，同時邀請各產業公協會及企業代表一同參與提供意見，</w:t>
      </w:r>
      <w:r w:rsidR="000A42A3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11687B" w:rsidRPr="008651BB">
        <w:rPr>
          <w:rFonts w:ascii="Times New Roman" w:eastAsia="標楷體" w:hAnsi="Times New Roman" w:cs="Times New Roman"/>
          <w:sz w:val="28"/>
          <w:szCs w:val="28"/>
        </w:rPr>
        <w:t>歡迎各校報名參加，蒞臨指導。</w:t>
      </w:r>
    </w:p>
    <w:p w:rsidR="0062228C" w:rsidRDefault="0062228C" w:rsidP="00BB707F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A0212" w:rsidRDefault="00BB707F" w:rsidP="00BB707F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主辦單位：教育部</w:t>
      </w:r>
    </w:p>
    <w:p w:rsidR="00BB707F" w:rsidRDefault="00BB707F" w:rsidP="00BB707F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執行單位：金屬工業研究發展中心</w:t>
      </w:r>
    </w:p>
    <w:p w:rsidR="00BB707F" w:rsidRPr="008651BB" w:rsidRDefault="00BB707F" w:rsidP="00BB707F">
      <w:pPr>
        <w:tabs>
          <w:tab w:val="left" w:pos="3140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協辦單位：</w:t>
      </w:r>
      <w:r w:rsidRPr="008651BB">
        <w:rPr>
          <w:rFonts w:ascii="Times New Roman" w:eastAsia="標楷體" w:hAnsi="Times New Roman" w:cs="Times New Roman"/>
          <w:sz w:val="28"/>
          <w:szCs w:val="28"/>
        </w:rPr>
        <w:t>石材暨資源產業研究發展中心</w:t>
      </w:r>
    </w:p>
    <w:p w:rsidR="002A0212" w:rsidRPr="008651BB" w:rsidRDefault="002A0212" w:rsidP="00BB707F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A0212" w:rsidRPr="00D93184" w:rsidRDefault="002A0212" w:rsidP="00D93184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D93184">
        <w:rPr>
          <w:rFonts w:ascii="Times New Roman" w:eastAsia="標楷體" w:hAnsi="Times New Roman" w:cs="Times New Roman"/>
          <w:sz w:val="28"/>
          <w:szCs w:val="28"/>
        </w:rPr>
        <w:t>說明會場次資訊</w:t>
      </w:r>
    </w:p>
    <w:tbl>
      <w:tblPr>
        <w:tblStyle w:val="a4"/>
        <w:tblW w:w="104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7"/>
        <w:gridCol w:w="2347"/>
        <w:gridCol w:w="2347"/>
        <w:gridCol w:w="2347"/>
        <w:gridCol w:w="2347"/>
      </w:tblGrid>
      <w:tr w:rsidR="002A0212" w:rsidRPr="008651BB" w:rsidTr="007C51D1">
        <w:trPr>
          <w:trHeight w:val="340"/>
          <w:jc w:val="center"/>
        </w:trPr>
        <w:tc>
          <w:tcPr>
            <w:tcW w:w="1077" w:type="dxa"/>
          </w:tcPr>
          <w:p w:rsidR="002A0212" w:rsidRPr="008651BB" w:rsidRDefault="002A0212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0212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中部場</w:t>
            </w:r>
          </w:p>
        </w:tc>
        <w:tc>
          <w:tcPr>
            <w:tcW w:w="2347" w:type="dxa"/>
          </w:tcPr>
          <w:p w:rsidR="002A0212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南部場</w:t>
            </w:r>
          </w:p>
        </w:tc>
        <w:tc>
          <w:tcPr>
            <w:tcW w:w="2347" w:type="dxa"/>
          </w:tcPr>
          <w:p w:rsidR="002A0212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北部場</w:t>
            </w:r>
          </w:p>
        </w:tc>
        <w:tc>
          <w:tcPr>
            <w:tcW w:w="2347" w:type="dxa"/>
          </w:tcPr>
          <w:p w:rsidR="002A0212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東部場</w:t>
            </w:r>
          </w:p>
        </w:tc>
      </w:tr>
      <w:tr w:rsidR="008651BB" w:rsidRPr="008651BB" w:rsidTr="007C51D1">
        <w:trPr>
          <w:trHeight w:val="340"/>
          <w:jc w:val="center"/>
        </w:trPr>
        <w:tc>
          <w:tcPr>
            <w:tcW w:w="107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234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9/26(</w:t>
            </w: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7" w:type="dxa"/>
          </w:tcPr>
          <w:p w:rsidR="008651BB" w:rsidRPr="008651BB" w:rsidRDefault="00226043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10/6</w:t>
            </w:r>
            <w:r w:rsidR="008651BB"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bookmarkStart w:id="0" w:name="_GoBack"/>
            <w:bookmarkEnd w:id="0"/>
            <w:r w:rsidR="008651BB"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10/17(</w:t>
            </w: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10/24(</w:t>
            </w: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8651BB" w:rsidRPr="008651BB" w:rsidTr="007C51D1">
        <w:trPr>
          <w:trHeight w:val="340"/>
          <w:jc w:val="center"/>
        </w:trPr>
        <w:tc>
          <w:tcPr>
            <w:tcW w:w="107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34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13:30-17:30</w:t>
            </w:r>
          </w:p>
        </w:tc>
        <w:tc>
          <w:tcPr>
            <w:tcW w:w="234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13:30-17:30</w:t>
            </w:r>
          </w:p>
        </w:tc>
        <w:tc>
          <w:tcPr>
            <w:tcW w:w="2347" w:type="dxa"/>
          </w:tcPr>
          <w:p w:rsidR="008651BB" w:rsidRPr="008651BB" w:rsidRDefault="000A42A3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13:30-17:30</w:t>
            </w:r>
          </w:p>
        </w:tc>
        <w:tc>
          <w:tcPr>
            <w:tcW w:w="234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13:30-17:30</w:t>
            </w:r>
          </w:p>
        </w:tc>
      </w:tr>
      <w:tr w:rsidR="008651BB" w:rsidRPr="008651BB" w:rsidTr="007C51D1">
        <w:trPr>
          <w:trHeight w:val="1020"/>
          <w:jc w:val="center"/>
        </w:trPr>
        <w:tc>
          <w:tcPr>
            <w:tcW w:w="107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  <w:tc>
          <w:tcPr>
            <w:tcW w:w="234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台中世貿中心</w:t>
            </w:r>
          </w:p>
        </w:tc>
        <w:tc>
          <w:tcPr>
            <w:tcW w:w="234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金屬工業研究發展中心</w:t>
            </w:r>
          </w:p>
        </w:tc>
        <w:tc>
          <w:tcPr>
            <w:tcW w:w="2347" w:type="dxa"/>
          </w:tcPr>
          <w:p w:rsidR="008651BB" w:rsidRPr="008651BB" w:rsidRDefault="000A42A3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42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臺鐵大樓</w:t>
            </w:r>
            <w:r w:rsidRPr="000A42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0A42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臺北車站</w:t>
            </w:r>
            <w:r w:rsidRPr="000A42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34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石材暨資源產業研究發展中心</w:t>
            </w:r>
          </w:p>
        </w:tc>
      </w:tr>
      <w:tr w:rsidR="00BB707F" w:rsidRPr="008651BB" w:rsidTr="007C51D1">
        <w:trPr>
          <w:trHeight w:val="1020"/>
          <w:jc w:val="center"/>
        </w:trPr>
        <w:tc>
          <w:tcPr>
            <w:tcW w:w="1077" w:type="dxa"/>
          </w:tcPr>
          <w:p w:rsidR="00BB707F" w:rsidRPr="008651BB" w:rsidRDefault="00BB707F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2347" w:type="dxa"/>
          </w:tcPr>
          <w:p w:rsidR="00BB707F" w:rsidRPr="008651BB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台中市西屯區天保街</w:t>
            </w: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60</w:t>
            </w: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2347" w:type="dxa"/>
          </w:tcPr>
          <w:p w:rsidR="00BB707F" w:rsidRPr="008651BB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高雄市楠梓區高楠公路</w:t>
            </w: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1001</w:t>
            </w: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2347" w:type="dxa"/>
          </w:tcPr>
          <w:p w:rsidR="00BB707F" w:rsidRPr="008651BB" w:rsidRDefault="000A42A3" w:rsidP="00185B68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臺北市中正區</w:t>
            </w:r>
            <w:r w:rsidRPr="000A42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北平西路</w:t>
            </w:r>
            <w:r w:rsidRPr="000A42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0A42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由東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門</w:t>
            </w:r>
            <w:r w:rsidR="001054D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347" w:type="dxa"/>
          </w:tcPr>
          <w:p w:rsidR="00BB707F" w:rsidRPr="008651BB" w:rsidRDefault="00BB707F" w:rsidP="00BB707F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花蓮縣吉安鄉南濱路一段</w:t>
            </w: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534</w:t>
            </w: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8651BB" w:rsidRPr="008651BB" w:rsidTr="007C51D1">
        <w:trPr>
          <w:trHeight w:val="340"/>
          <w:jc w:val="center"/>
        </w:trPr>
        <w:tc>
          <w:tcPr>
            <w:tcW w:w="107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  <w:tc>
          <w:tcPr>
            <w:tcW w:w="234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201</w:t>
            </w: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  <w:tc>
          <w:tcPr>
            <w:tcW w:w="2347" w:type="dxa"/>
          </w:tcPr>
          <w:p w:rsidR="008651BB" w:rsidRPr="008651BB" w:rsidRDefault="001054DC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研發中心</w:t>
            </w:r>
            <w:r w:rsidR="008651BB"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大禮堂</w:t>
            </w:r>
          </w:p>
        </w:tc>
        <w:tc>
          <w:tcPr>
            <w:tcW w:w="2347" w:type="dxa"/>
          </w:tcPr>
          <w:p w:rsidR="008651BB" w:rsidRPr="008651BB" w:rsidRDefault="001054DC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  <w:tc>
          <w:tcPr>
            <w:tcW w:w="2347" w:type="dxa"/>
          </w:tcPr>
          <w:p w:rsidR="008651BB" w:rsidRPr="008651BB" w:rsidRDefault="008651BB" w:rsidP="00BB707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51BB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  <w:r w:rsidR="00B869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</w:tr>
    </w:tbl>
    <w:p w:rsidR="002A0212" w:rsidRDefault="002A0212" w:rsidP="00BB707F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BB707F" w:rsidRDefault="00BB707F" w:rsidP="00BB707F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A0212" w:rsidRPr="008651BB" w:rsidRDefault="002A0212" w:rsidP="00BB707F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2A0212" w:rsidRPr="008651BB" w:rsidSect="008651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49" w:rsidRDefault="00A32549" w:rsidP="0062228C">
      <w:r>
        <w:separator/>
      </w:r>
    </w:p>
  </w:endnote>
  <w:endnote w:type="continuationSeparator" w:id="0">
    <w:p w:rsidR="00A32549" w:rsidRDefault="00A32549" w:rsidP="0062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49" w:rsidRDefault="00A32549" w:rsidP="0062228C">
      <w:r>
        <w:separator/>
      </w:r>
    </w:p>
  </w:footnote>
  <w:footnote w:type="continuationSeparator" w:id="0">
    <w:p w:rsidR="00A32549" w:rsidRDefault="00A32549" w:rsidP="0062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2D1F"/>
    <w:multiLevelType w:val="hybridMultilevel"/>
    <w:tmpl w:val="102478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7B"/>
    <w:rsid w:val="0002477E"/>
    <w:rsid w:val="00075300"/>
    <w:rsid w:val="0009207D"/>
    <w:rsid w:val="000A42A3"/>
    <w:rsid w:val="001054DC"/>
    <w:rsid w:val="0011687B"/>
    <w:rsid w:val="00185B68"/>
    <w:rsid w:val="00226043"/>
    <w:rsid w:val="002A0212"/>
    <w:rsid w:val="002C3F48"/>
    <w:rsid w:val="00383A37"/>
    <w:rsid w:val="003B3D6C"/>
    <w:rsid w:val="004F338F"/>
    <w:rsid w:val="00570945"/>
    <w:rsid w:val="006207BF"/>
    <w:rsid w:val="0062228C"/>
    <w:rsid w:val="007369B5"/>
    <w:rsid w:val="00744299"/>
    <w:rsid w:val="007C51D1"/>
    <w:rsid w:val="00820A26"/>
    <w:rsid w:val="008651BB"/>
    <w:rsid w:val="008978AB"/>
    <w:rsid w:val="00A32549"/>
    <w:rsid w:val="00A71DFE"/>
    <w:rsid w:val="00AD567E"/>
    <w:rsid w:val="00B37062"/>
    <w:rsid w:val="00B869D8"/>
    <w:rsid w:val="00BB707F"/>
    <w:rsid w:val="00CB560A"/>
    <w:rsid w:val="00D024BD"/>
    <w:rsid w:val="00D83AD9"/>
    <w:rsid w:val="00D93184"/>
    <w:rsid w:val="00DA7403"/>
    <w:rsid w:val="00E27181"/>
    <w:rsid w:val="00F22CCC"/>
    <w:rsid w:val="00F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7292F"/>
  <w15:docId w15:val="{E6859A87-9559-44BE-8E5E-87077BEA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12"/>
    <w:pPr>
      <w:ind w:leftChars="200" w:left="480"/>
    </w:pPr>
  </w:style>
  <w:style w:type="table" w:styleId="a4">
    <w:name w:val="Table Grid"/>
    <w:basedOn w:val="a1"/>
    <w:uiPriority w:val="39"/>
    <w:rsid w:val="002A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2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22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2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228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5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5B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86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MIRDC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王怡文</cp:lastModifiedBy>
  <cp:revision>4</cp:revision>
  <cp:lastPrinted>2017-09-04T00:57:00Z</cp:lastPrinted>
  <dcterms:created xsi:type="dcterms:W3CDTF">2017-09-04T01:33:00Z</dcterms:created>
  <dcterms:modified xsi:type="dcterms:W3CDTF">2017-09-08T03:09:00Z</dcterms:modified>
</cp:coreProperties>
</file>